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0" w:rsidRPr="009E2AFF" w:rsidRDefault="00765930" w:rsidP="00765930">
      <w:pPr>
        <w:jc w:val="center"/>
        <w:rPr>
          <w:rFonts w:ascii="Goudy Old Style" w:hAnsi="Goudy Old Style"/>
          <w:b/>
          <w:sz w:val="36"/>
          <w:szCs w:val="36"/>
        </w:rPr>
      </w:pPr>
      <w:r w:rsidRPr="009E2AFF">
        <w:rPr>
          <w:rFonts w:ascii="Goudy Old Style" w:hAnsi="Goudy Old Style"/>
          <w:b/>
          <w:sz w:val="36"/>
          <w:szCs w:val="36"/>
        </w:rPr>
        <w:t>PKL</w:t>
      </w:r>
      <w:r>
        <w:rPr>
          <w:rFonts w:ascii="Goudy Old Style" w:hAnsi="Goudy Old Style"/>
          <w:b/>
          <w:sz w:val="36"/>
          <w:szCs w:val="36"/>
        </w:rPr>
        <w:t xml:space="preserve"> - Faculty</w:t>
      </w:r>
    </w:p>
    <w:p w:rsidR="00765930" w:rsidRDefault="00765930" w:rsidP="00765930">
      <w:pPr>
        <w:jc w:val="center"/>
        <w:rPr>
          <w:rFonts w:ascii="Goudy Old Style" w:hAnsi="Goudy Old Style"/>
          <w:sz w:val="20"/>
          <w:szCs w:val="20"/>
        </w:rPr>
      </w:pPr>
      <w:r w:rsidRPr="009E2AFF">
        <w:rPr>
          <w:rFonts w:ascii="Goudy Old Style" w:hAnsi="Goudy Old Style"/>
          <w:b/>
          <w:sz w:val="32"/>
          <w:szCs w:val="32"/>
        </w:rPr>
        <w:t>P</w:t>
      </w:r>
      <w:r>
        <w:rPr>
          <w:rFonts w:ascii="Goudy Old Style" w:hAnsi="Goudy Old Style"/>
          <w:b/>
          <w:sz w:val="20"/>
          <w:szCs w:val="20"/>
        </w:rPr>
        <w:t>erformance-Based a</w:t>
      </w:r>
      <w:r w:rsidRPr="000B1F35">
        <w:rPr>
          <w:rFonts w:ascii="Goudy Old Style" w:hAnsi="Goudy Old Style"/>
          <w:b/>
          <w:sz w:val="20"/>
          <w:szCs w:val="20"/>
        </w:rPr>
        <w:t>ssessments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K</w:t>
      </w:r>
      <w:r w:rsidRPr="009E2AFF">
        <w:rPr>
          <w:rFonts w:ascii="Goudy Old Style" w:hAnsi="Goudy Old Style"/>
          <w:sz w:val="20"/>
          <w:szCs w:val="20"/>
        </w:rPr>
        <w:t>UD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L</w:t>
      </w:r>
      <w:r w:rsidRPr="009E2AFF">
        <w:rPr>
          <w:rFonts w:ascii="Goudy Old Style" w:hAnsi="Goudy Old Style"/>
          <w:sz w:val="20"/>
          <w:szCs w:val="20"/>
        </w:rPr>
        <w:t>earning Scales</w:t>
      </w:r>
    </w:p>
    <w:p w:rsidR="00765930" w:rsidRDefault="00765930" w:rsidP="00765930">
      <w:pPr>
        <w:jc w:val="center"/>
        <w:rPr>
          <w:rFonts w:ascii="Goudy Old Style" w:hAnsi="Goudy Old Style"/>
          <w:sz w:val="20"/>
          <w:szCs w:val="20"/>
        </w:rPr>
      </w:pPr>
    </w:p>
    <w:p w:rsidR="00EB6C3A" w:rsidRDefault="00EB6C3A" w:rsidP="0076593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Performance:</w:t>
      </w:r>
    </w:p>
    <w:p w:rsidR="00765930" w:rsidRDefault="005256D7" w:rsidP="0076593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HHS </w:t>
      </w:r>
      <w:r w:rsidR="00EB6C3A">
        <w:rPr>
          <w:rFonts w:ascii="Goudy Old Style" w:hAnsi="Goudy Old Style"/>
          <w:sz w:val="28"/>
          <w:szCs w:val="28"/>
        </w:rPr>
        <w:t>Advisor</w:t>
      </w:r>
    </w:p>
    <w:p w:rsidR="00765930" w:rsidRDefault="00765930" w:rsidP="00765930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765930" w:rsidRPr="00765930" w:rsidRDefault="00765930" w:rsidP="00765930">
      <w:pPr>
        <w:rPr>
          <w:rFonts w:ascii="Times" w:hAnsi="Times"/>
          <w:sz w:val="20"/>
          <w:szCs w:val="20"/>
        </w:rPr>
      </w:pPr>
      <w:r w:rsidRPr="00765930">
        <w:rPr>
          <w:b/>
          <w:bCs/>
          <w:color w:val="000000"/>
          <w:sz w:val="23"/>
          <w:szCs w:val="23"/>
          <w:u w:val="single"/>
        </w:rPr>
        <w:t>PROGRAM GOALS</w:t>
      </w:r>
    </w:p>
    <w:p w:rsidR="00765930" w:rsidRPr="00765930" w:rsidRDefault="00765930" w:rsidP="00765930">
      <w:pPr>
        <w:rPr>
          <w:rFonts w:ascii="Times" w:hAnsi="Times"/>
          <w:sz w:val="20"/>
          <w:szCs w:val="20"/>
        </w:rPr>
      </w:pPr>
      <w:r w:rsidRPr="00765930">
        <w:rPr>
          <w:b/>
          <w:bCs/>
          <w:color w:val="000000"/>
          <w:sz w:val="23"/>
          <w:szCs w:val="23"/>
        </w:rPr>
        <w:t>The HHS Advisory Program seeks to foster individual student growth through personal relationships as follows:</w:t>
      </w:r>
    </w:p>
    <w:p w:rsidR="00765930" w:rsidRPr="00765930" w:rsidRDefault="00765930" w:rsidP="00765930">
      <w:pPr>
        <w:rPr>
          <w:rFonts w:ascii="Times" w:eastAsia="Times New Roman" w:hAnsi="Times"/>
          <w:sz w:val="20"/>
          <w:szCs w:val="20"/>
        </w:rPr>
      </w:pPr>
    </w:p>
    <w:p w:rsidR="00765930" w:rsidRPr="00765930" w:rsidRDefault="00765930" w:rsidP="007659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 xml:space="preserve">Develop planned, purposeful and positive </w:t>
      </w:r>
      <w:r w:rsidRPr="00765930">
        <w:rPr>
          <w:b/>
          <w:bCs/>
          <w:color w:val="000000"/>
          <w:sz w:val="23"/>
          <w:szCs w:val="23"/>
        </w:rPr>
        <w:t>relationships</w:t>
      </w:r>
      <w:r w:rsidRPr="00765930">
        <w:rPr>
          <w:color w:val="000000"/>
          <w:sz w:val="23"/>
          <w:szCs w:val="23"/>
        </w:rPr>
        <w:t xml:space="preserve"> between staff and students.</w:t>
      </w:r>
    </w:p>
    <w:p w:rsidR="00765930" w:rsidRPr="00765930" w:rsidRDefault="00765930" w:rsidP="007659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 xml:space="preserve">Increase </w:t>
      </w:r>
      <w:r w:rsidRPr="00765930">
        <w:rPr>
          <w:b/>
          <w:bCs/>
          <w:color w:val="000000"/>
          <w:sz w:val="23"/>
          <w:szCs w:val="23"/>
        </w:rPr>
        <w:t>student engagement</w:t>
      </w:r>
      <w:r w:rsidRPr="00765930">
        <w:rPr>
          <w:color w:val="000000"/>
          <w:sz w:val="23"/>
          <w:szCs w:val="23"/>
        </w:rPr>
        <w:t xml:space="preserve"> and success.</w:t>
      </w:r>
    </w:p>
    <w:p w:rsidR="00765930" w:rsidRPr="00765930" w:rsidRDefault="00765930" w:rsidP="007659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 xml:space="preserve">Create a </w:t>
      </w:r>
      <w:r w:rsidRPr="00765930">
        <w:rPr>
          <w:b/>
          <w:bCs/>
          <w:color w:val="000000"/>
          <w:sz w:val="23"/>
          <w:szCs w:val="23"/>
        </w:rPr>
        <w:t>culture</w:t>
      </w:r>
      <w:r w:rsidRPr="00765930">
        <w:rPr>
          <w:color w:val="000000"/>
          <w:sz w:val="23"/>
          <w:szCs w:val="23"/>
        </w:rPr>
        <w:t xml:space="preserve"> that supports personal responsibility and mutual respect. </w:t>
      </w:r>
    </w:p>
    <w:p w:rsidR="00765930" w:rsidRPr="00765930" w:rsidRDefault="00765930" w:rsidP="007659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 xml:space="preserve">Help students understand and find meaning in the </w:t>
      </w:r>
      <w:r w:rsidRPr="00765930">
        <w:rPr>
          <w:b/>
          <w:bCs/>
          <w:color w:val="000000"/>
          <w:sz w:val="23"/>
          <w:szCs w:val="23"/>
        </w:rPr>
        <w:t>Ends Policies</w:t>
      </w:r>
      <w:r>
        <w:rPr>
          <w:b/>
          <w:bCs/>
          <w:color w:val="000000"/>
          <w:sz w:val="23"/>
          <w:szCs w:val="23"/>
        </w:rPr>
        <w:t>*</w:t>
      </w:r>
      <w:r>
        <w:rPr>
          <w:color w:val="000000"/>
          <w:sz w:val="23"/>
          <w:szCs w:val="23"/>
        </w:rPr>
        <w:t>.</w:t>
      </w:r>
    </w:p>
    <w:p w:rsidR="00765930" w:rsidRPr="00765930" w:rsidRDefault="00765930" w:rsidP="00765930">
      <w:pPr>
        <w:rPr>
          <w:rFonts w:ascii="Times" w:hAnsi="Times"/>
          <w:sz w:val="20"/>
          <w:szCs w:val="20"/>
        </w:rPr>
      </w:pPr>
    </w:p>
    <w:p w:rsidR="00765930" w:rsidRPr="00765930" w:rsidRDefault="00765930" w:rsidP="00765930">
      <w:pPr>
        <w:rPr>
          <w:rFonts w:ascii="Times" w:hAnsi="Times"/>
          <w:sz w:val="20"/>
          <w:szCs w:val="20"/>
        </w:rPr>
      </w:pPr>
      <w:r w:rsidRPr="00765930">
        <w:rPr>
          <w:b/>
          <w:bCs/>
          <w:color w:val="000000"/>
          <w:sz w:val="23"/>
          <w:szCs w:val="23"/>
          <w:u w:val="single"/>
        </w:rPr>
        <w:t>ADVISOR ROLES &amp; RESPONSIBILITIES</w:t>
      </w:r>
    </w:p>
    <w:p w:rsidR="00765930" w:rsidRPr="00765930" w:rsidRDefault="00765930" w:rsidP="00765930">
      <w:pPr>
        <w:rPr>
          <w:rFonts w:ascii="Times" w:hAnsi="Times"/>
          <w:sz w:val="20"/>
          <w:szCs w:val="20"/>
        </w:rPr>
      </w:pPr>
      <w:r w:rsidRPr="00765930">
        <w:rPr>
          <w:b/>
          <w:bCs/>
          <w:color w:val="000000"/>
          <w:sz w:val="23"/>
          <w:szCs w:val="23"/>
        </w:rPr>
        <w:t>All teaching faculty will serve as advisors. In addition, there may be opportunities for administrators and support staff to serve as advisors depending on their availability and certification/experience with students. The principal will have the final authority to determine who serves as an advisor. The role of the advisor is as follows:</w:t>
      </w:r>
    </w:p>
    <w:p w:rsidR="00765930" w:rsidRPr="00765930" w:rsidRDefault="00765930" w:rsidP="00765930">
      <w:pPr>
        <w:rPr>
          <w:rFonts w:ascii="Times" w:eastAsia="Times New Roman" w:hAnsi="Times"/>
          <w:sz w:val="20"/>
          <w:szCs w:val="20"/>
        </w:rPr>
      </w:pP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Take Attendance.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Establish and enforce group norms and expectations.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Listen and learn; observe advisees to discover personal strengths/needs/concerns and use this to make a connection between advisor and each advisee.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Link discussions and activities to advisory goals and themes, including helping students connect to district Ends Policies in more meaningful ways. (</w:t>
      </w:r>
      <w:proofErr w:type="gramStart"/>
      <w:r w:rsidRPr="00765930">
        <w:rPr>
          <w:color w:val="000000"/>
          <w:sz w:val="23"/>
          <w:szCs w:val="23"/>
        </w:rPr>
        <w:t>e</w:t>
      </w:r>
      <w:proofErr w:type="gramEnd"/>
      <w:r w:rsidRPr="00765930">
        <w:rPr>
          <w:color w:val="000000"/>
          <w:sz w:val="23"/>
          <w:szCs w:val="23"/>
        </w:rPr>
        <w:t xml:space="preserve">.g. Help students develop and review Personal Learning Plan goals.) 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 xml:space="preserve">Meet with every student individually </w:t>
      </w:r>
      <w:r w:rsidRPr="00765930">
        <w:rPr>
          <w:color w:val="000000"/>
          <w:sz w:val="23"/>
          <w:szCs w:val="23"/>
          <w:u w:val="single"/>
        </w:rPr>
        <w:t>at least</w:t>
      </w:r>
      <w:r w:rsidRPr="00765930">
        <w:rPr>
          <w:color w:val="000000"/>
          <w:sz w:val="23"/>
          <w:szCs w:val="23"/>
        </w:rPr>
        <w:t>** once a month regarding academic progress /opportunities (reference Infinite Campus)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Establish a verbal or in-person connection with parents/guardians within the first month the student is in school. Communicate a minimum of once every two months thereafter (This communication could be in the form of a quick email home after you’ve met with the student. It can also be more frequent if warranted by individual students' needs).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Refer students, as needed, to resources, activities, and services that will increase engagement and success.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Collaborate with teachers, counselors and administrators on behalf of advisees.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Model personal responsibility and mutual respect in all interactions with advisees.</w:t>
      </w:r>
    </w:p>
    <w:p w:rsidR="00765930" w:rsidRPr="00765930" w:rsidRDefault="00765930" w:rsidP="0076593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65930">
        <w:rPr>
          <w:color w:val="000000"/>
          <w:sz w:val="23"/>
          <w:szCs w:val="23"/>
        </w:rPr>
        <w:t>Participate in professional development programming to gain knowledge and skills related to the advisor role.</w:t>
      </w:r>
    </w:p>
    <w:p w:rsidR="00765930" w:rsidRPr="00765930" w:rsidRDefault="00765930" w:rsidP="00765930">
      <w:pPr>
        <w:ind w:right="-720"/>
        <w:rPr>
          <w:rFonts w:ascii="Times" w:hAnsi="Times"/>
          <w:sz w:val="20"/>
          <w:szCs w:val="20"/>
        </w:rPr>
      </w:pPr>
      <w:r w:rsidRPr="00765930">
        <w:rPr>
          <w:color w:val="000000"/>
          <w:sz w:val="18"/>
          <w:szCs w:val="18"/>
        </w:rPr>
        <w:t>*Advisors are NOT responsible for assessing students or work related to the Ends Policies.</w:t>
      </w:r>
    </w:p>
    <w:p w:rsidR="00765930" w:rsidRPr="00765930" w:rsidRDefault="00765930" w:rsidP="00765930">
      <w:pPr>
        <w:ind w:right="-720"/>
        <w:rPr>
          <w:rFonts w:ascii="Times" w:hAnsi="Times"/>
          <w:sz w:val="20"/>
          <w:szCs w:val="20"/>
        </w:rPr>
      </w:pPr>
      <w:r w:rsidRPr="00765930">
        <w:rPr>
          <w:color w:val="000000"/>
          <w:sz w:val="18"/>
          <w:szCs w:val="18"/>
        </w:rPr>
        <w:t xml:space="preserve">**Students who are struggling academically should be identified and the advisor should meet more frequently (up to once a week) with these students. </w:t>
      </w:r>
    </w:p>
    <w:p w:rsidR="00765930" w:rsidRPr="00765930" w:rsidRDefault="00765930" w:rsidP="00765930">
      <w:pPr>
        <w:rPr>
          <w:rFonts w:ascii="Times" w:eastAsia="Times New Roman" w:hAnsi="Times"/>
          <w:sz w:val="20"/>
          <w:szCs w:val="20"/>
        </w:rPr>
      </w:pPr>
    </w:p>
    <w:p w:rsidR="00765930" w:rsidRDefault="00765930" w:rsidP="00765930">
      <w:pPr>
        <w:rPr>
          <w:b/>
          <w:bCs/>
          <w:color w:val="000000"/>
          <w:sz w:val="23"/>
          <w:szCs w:val="23"/>
          <w:u w:val="single"/>
        </w:rPr>
      </w:pPr>
    </w:p>
    <w:p w:rsidR="00765930" w:rsidRDefault="00765930" w:rsidP="00765930">
      <w:pPr>
        <w:rPr>
          <w:b/>
          <w:bCs/>
          <w:color w:val="000000"/>
          <w:sz w:val="23"/>
          <w:szCs w:val="23"/>
          <w:u w:val="single"/>
        </w:rPr>
      </w:pPr>
    </w:p>
    <w:p w:rsidR="00765930" w:rsidRDefault="00765930" w:rsidP="00765930">
      <w:pPr>
        <w:rPr>
          <w:b/>
          <w:bCs/>
          <w:color w:val="000000"/>
          <w:sz w:val="23"/>
          <w:szCs w:val="23"/>
          <w:u w:val="single"/>
        </w:rPr>
      </w:pPr>
    </w:p>
    <w:p w:rsidR="00765930" w:rsidRDefault="00765930" w:rsidP="00765930">
      <w:pPr>
        <w:rPr>
          <w:b/>
          <w:bCs/>
          <w:color w:val="000000"/>
          <w:sz w:val="23"/>
          <w:szCs w:val="23"/>
          <w:u w:val="single"/>
        </w:rPr>
      </w:pPr>
    </w:p>
    <w:p w:rsidR="00765930" w:rsidRPr="00765930" w:rsidRDefault="00765930" w:rsidP="00765930">
      <w:pPr>
        <w:rPr>
          <w:rFonts w:ascii="Goudy Old Style" w:hAnsi="Goudy Old Style"/>
          <w:sz w:val="28"/>
          <w:szCs w:val="28"/>
        </w:rPr>
      </w:pPr>
    </w:p>
    <w:p w:rsidR="00765930" w:rsidRDefault="00765930" w:rsidP="00765930">
      <w:pPr>
        <w:jc w:val="center"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10406" w:type="dxa"/>
        <w:tblLayout w:type="fixed"/>
        <w:tblLook w:val="04A0" w:firstRow="1" w:lastRow="0" w:firstColumn="1" w:lastColumn="0" w:noHBand="0" w:noVBand="1"/>
      </w:tblPr>
      <w:tblGrid>
        <w:gridCol w:w="2718"/>
        <w:gridCol w:w="2700"/>
        <w:gridCol w:w="4988"/>
      </w:tblGrid>
      <w:tr w:rsidR="00765930" w:rsidRPr="00CB7D16" w:rsidTr="00765930">
        <w:tc>
          <w:tcPr>
            <w:tcW w:w="2718" w:type="dxa"/>
            <w:shd w:val="clear" w:color="auto" w:fill="CCCCCC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 w:rsidRPr="00186754">
              <w:rPr>
                <w:rFonts w:ascii="Goudy Old Style" w:hAnsi="Goudy Old Style"/>
                <w:b/>
                <w:sz w:val="36"/>
                <w:szCs w:val="36"/>
              </w:rPr>
              <w:lastRenderedPageBreak/>
              <w:t>K</w:t>
            </w:r>
            <w:r w:rsidRPr="00CB7D16">
              <w:rPr>
                <w:rFonts w:ascii="Goudy Old Style" w:hAnsi="Goudy Old Style"/>
              </w:rPr>
              <w:t>now</w:t>
            </w:r>
          </w:p>
          <w:p w:rsidR="00765930" w:rsidRPr="00CB7D16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>
              <w:rPr>
                <w:rFonts w:ascii="Goudy Old Style" w:hAnsi="Goudy Old Style"/>
              </w:rPr>
              <w:t>particular</w:t>
            </w:r>
            <w:proofErr w:type="gramEnd"/>
            <w:r>
              <w:rPr>
                <w:rFonts w:ascii="Goudy Old Style" w:hAnsi="Goudy Old Style"/>
              </w:rPr>
              <w:t xml:space="preserve"> facts/terms associated with the learning)</w:t>
            </w:r>
          </w:p>
        </w:tc>
        <w:tc>
          <w:tcPr>
            <w:tcW w:w="2700" w:type="dxa"/>
            <w:shd w:val="clear" w:color="auto" w:fill="CCCCCC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</w:rPr>
              <w:t>U</w:t>
            </w:r>
            <w:r w:rsidRPr="0063073C">
              <w:rPr>
                <w:rFonts w:ascii="Goudy Old Style" w:hAnsi="Goudy Old Style"/>
              </w:rPr>
              <w:t>n</w:t>
            </w:r>
            <w:r w:rsidRPr="00CB7D16">
              <w:rPr>
                <w:rFonts w:ascii="Goudy Old Style" w:hAnsi="Goudy Old Style"/>
              </w:rPr>
              <w:t>derstand</w:t>
            </w:r>
          </w:p>
          <w:p w:rsidR="00765930" w:rsidRPr="00CB7D16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>
              <w:rPr>
                <w:rFonts w:ascii="Goudy Old Style" w:hAnsi="Goudy Old Style"/>
              </w:rPr>
              <w:t>limited</w:t>
            </w:r>
            <w:proofErr w:type="gramEnd"/>
            <w:r>
              <w:rPr>
                <w:rFonts w:ascii="Goudy Old Style" w:hAnsi="Goudy Old Style"/>
              </w:rPr>
              <w:t xml:space="preserve"> # big ideas that recur across units)</w:t>
            </w:r>
          </w:p>
        </w:tc>
        <w:tc>
          <w:tcPr>
            <w:tcW w:w="4988" w:type="dxa"/>
            <w:shd w:val="clear" w:color="auto" w:fill="CCCCCC"/>
          </w:tcPr>
          <w:p w:rsidR="00765930" w:rsidRPr="0063073C" w:rsidRDefault="00765930" w:rsidP="00765930">
            <w:pPr>
              <w:jc w:val="center"/>
              <w:rPr>
                <w:rFonts w:ascii="Goudy Old Style" w:hAnsi="Goudy Old Style"/>
              </w:rPr>
            </w:pPr>
            <w:r w:rsidRPr="0063073C">
              <w:rPr>
                <w:rFonts w:ascii="Goudy Old Style" w:hAnsi="Goudy Old Style"/>
              </w:rPr>
              <w:t>Do</w:t>
            </w:r>
          </w:p>
          <w:p w:rsidR="00765930" w:rsidRPr="00CB7D16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>
              <w:rPr>
                <w:rFonts w:ascii="Goudy Old Style" w:hAnsi="Goudy Old Style"/>
              </w:rPr>
              <w:t>transferable</w:t>
            </w:r>
            <w:proofErr w:type="gramEnd"/>
            <w:r>
              <w:rPr>
                <w:rFonts w:ascii="Goudy Old Style" w:hAnsi="Goudy Old Style"/>
              </w:rPr>
              <w:t xml:space="preserve"> skills aligned with school-wide outcomes)</w:t>
            </w:r>
          </w:p>
        </w:tc>
      </w:tr>
      <w:tr w:rsidR="00765930" w:rsidRPr="00CB7D16" w:rsidTr="00765930">
        <w:tc>
          <w:tcPr>
            <w:tcW w:w="2718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Personality styles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Learning styles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Strengths Inventory</w:t>
            </w:r>
          </w:p>
          <w:p w:rsidR="00765930" w:rsidRDefault="00EB6C3A" w:rsidP="00765930">
            <w:pPr>
              <w:rPr>
                <w:rFonts w:ascii="Goudy Old Style" w:hAnsi="Goudy Old Style"/>
              </w:rPr>
            </w:pPr>
            <w:hyperlink r:id="rId6" w:history="1">
              <w:r w:rsidR="00765930" w:rsidRPr="00577A0D">
                <w:rPr>
                  <w:rStyle w:val="Hyperlink"/>
                  <w:rFonts w:ascii="Goudy Old Style" w:hAnsi="Goudy Old Style"/>
                </w:rPr>
                <w:t>North –South-East-West Protocol</w:t>
              </w:r>
            </w:hyperlink>
          </w:p>
          <w:p w:rsidR="00765930" w:rsidRDefault="00EB6C3A" w:rsidP="00765930">
            <w:pPr>
              <w:rPr>
                <w:rStyle w:val="Hyperlink"/>
                <w:rFonts w:ascii="Goudy Old Style" w:hAnsi="Goudy Old Style"/>
              </w:rPr>
            </w:pPr>
            <w:hyperlink r:id="rId7" w:history="1">
              <w:r w:rsidR="00765930" w:rsidRPr="00577A0D">
                <w:rPr>
                  <w:rStyle w:val="Hyperlink"/>
                  <w:rFonts w:ascii="Goudy Old Style" w:hAnsi="Goudy Old Style"/>
                </w:rPr>
                <w:t>Community</w:t>
              </w:r>
            </w:hyperlink>
          </w:p>
          <w:p w:rsidR="00765930" w:rsidRDefault="00765930" w:rsidP="00765930">
            <w:pPr>
              <w:rPr>
                <w:rStyle w:val="Hyperlink"/>
                <w:rFonts w:ascii="Goudy Old Style" w:hAnsi="Goudy Old Style"/>
              </w:rPr>
            </w:pPr>
            <w:r w:rsidRPr="00104031">
              <w:rPr>
                <w:rStyle w:val="Hyperlink"/>
                <w:rFonts w:ascii="Goudy Old Style" w:hAnsi="Goudy Old Style"/>
              </w:rPr>
              <w:t>Collaboration</w:t>
            </w:r>
          </w:p>
          <w:p w:rsidR="00765930" w:rsidRDefault="00765930" w:rsidP="00765930">
            <w:pPr>
              <w:rPr>
                <w:rStyle w:val="Hyperlink"/>
                <w:rFonts w:ascii="Goudy Old Style" w:hAnsi="Goudy Old Style"/>
              </w:rPr>
            </w:pPr>
            <w:r>
              <w:rPr>
                <w:rStyle w:val="Hyperlink"/>
                <w:rFonts w:ascii="Goudy Old Style" w:hAnsi="Goudy Old Style"/>
              </w:rPr>
              <w:t>Cooperation</w:t>
            </w:r>
          </w:p>
          <w:p w:rsidR="00765930" w:rsidRDefault="00765930" w:rsidP="00765930">
            <w:pPr>
              <w:rPr>
                <w:rStyle w:val="Hyperlink"/>
                <w:rFonts w:ascii="Goudy Old Style" w:hAnsi="Goudy Old Style"/>
              </w:rPr>
            </w:pPr>
            <w:r>
              <w:rPr>
                <w:rStyle w:val="Hyperlink"/>
                <w:rFonts w:ascii="Goudy Old Style" w:hAnsi="Goudy Old Style"/>
              </w:rPr>
              <w:t>Culture</w:t>
            </w:r>
          </w:p>
          <w:p w:rsidR="00765930" w:rsidRDefault="00765930" w:rsidP="00765930">
            <w:pPr>
              <w:rPr>
                <w:rStyle w:val="Hyperlink"/>
                <w:rFonts w:ascii="Goudy Old Style" w:hAnsi="Goudy Old Style"/>
              </w:rPr>
            </w:pPr>
            <w:r>
              <w:rPr>
                <w:rStyle w:val="Hyperlink"/>
                <w:rFonts w:ascii="Goudy Old Style" w:hAnsi="Goudy Old Style"/>
              </w:rPr>
              <w:t>Engagement</w:t>
            </w:r>
          </w:p>
          <w:p w:rsidR="00765930" w:rsidRDefault="00765930" w:rsidP="00765930">
            <w:pPr>
              <w:rPr>
                <w:rStyle w:val="Hyperlink"/>
                <w:rFonts w:ascii="Goudy Old Style" w:hAnsi="Goudy Old Style"/>
              </w:rPr>
            </w:pPr>
            <w:r>
              <w:rPr>
                <w:rStyle w:val="Hyperlink"/>
                <w:rFonts w:ascii="Goudy Old Style" w:hAnsi="Goudy Old Style"/>
              </w:rPr>
              <w:t>Self-directed learning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Authentic learning materials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Student voice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Lesson plans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Team building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Feedback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Evaluation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Process</w:t>
            </w:r>
          </w:p>
          <w:p w:rsidR="00765930" w:rsidRDefault="00765930" w:rsidP="00765930">
            <w:pPr>
              <w:rPr>
                <w:rStyle w:val="Hyperlink"/>
              </w:rPr>
            </w:pPr>
            <w:r>
              <w:rPr>
                <w:rStyle w:val="Hyperlink"/>
              </w:rPr>
              <w:t>Content</w:t>
            </w:r>
          </w:p>
          <w:p w:rsidR="00765930" w:rsidRPr="00C13DD2" w:rsidRDefault="00765930" w:rsidP="00765930">
            <w:r>
              <w:rPr>
                <w:rStyle w:val="Hyperlink"/>
              </w:rPr>
              <w:t>Learning outcomes</w:t>
            </w:r>
          </w:p>
          <w:p w:rsidR="00765930" w:rsidRPr="00CB7D16" w:rsidRDefault="00765930" w:rsidP="00765930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When every student has at least one adult who really gets to know them over a sustained period of time, they have a much greater chance of success and positive engagement in the school community.</w:t>
            </w:r>
          </w:p>
          <w:p w:rsidR="00765930" w:rsidRDefault="00765930" w:rsidP="00765930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765930" w:rsidRDefault="00765930" w:rsidP="00765930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We perform better when we work together, interdependently, toward a common goal. </w:t>
            </w:r>
          </w:p>
          <w:p w:rsidR="00765930" w:rsidRDefault="00765930" w:rsidP="00765930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765930" w:rsidRPr="00690BE7" w:rsidRDefault="00765930" w:rsidP="00765930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Every community is stronger/richer because of the unique talents, interests and abilities of its individual members.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Every person has the power to impact outcomes and people are always learning new ways to do this.</w:t>
            </w:r>
          </w:p>
          <w:p w:rsidR="00765930" w:rsidRPr="00B752B3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Pr="00B752B3" w:rsidRDefault="00765930" w:rsidP="00765930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4988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Cooperate with students and colleagues in a way that encourages/allows each person to contribute to my group’s process and products.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Share the specific skills, talents, and abilities I have to offer.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Plan, prepare, and deliver content and activities that helps my students connect with a topic.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Identify the culture of my advisory group and tailor my presentations/activities to the group’s specific culture.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Identify and demonstrate respect/tolerance for individual differences within my working group and within the wider advisory group.</w:t>
            </w:r>
          </w:p>
          <w:p w:rsidR="00765930" w:rsidRDefault="00765930" w:rsidP="00765930">
            <w:pPr>
              <w:tabs>
                <w:tab w:val="left" w:pos="1080"/>
              </w:tabs>
              <w:spacing w:line="0" w:lineRule="atLeast"/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tabs>
                <w:tab w:val="left" w:pos="1080"/>
              </w:tabs>
              <w:spacing w:line="0" w:lineRule="atLeast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Engage in ongoing reflection of my own skills and challenges and elicit a variety of viewpoints to inform this reflective process.</w:t>
            </w:r>
          </w:p>
          <w:p w:rsidR="00765930" w:rsidRPr="00CB7D16" w:rsidRDefault="00765930" w:rsidP="00765930">
            <w:pPr>
              <w:rPr>
                <w:rFonts w:ascii="Goudy Old Style" w:hAnsi="Goudy Old Style"/>
              </w:rPr>
            </w:pPr>
          </w:p>
        </w:tc>
      </w:tr>
    </w:tbl>
    <w:p w:rsidR="00765930" w:rsidRDefault="00765930" w:rsidP="00765930">
      <w:pPr>
        <w:jc w:val="center"/>
        <w:rPr>
          <w:rFonts w:ascii="Goudy Old Style" w:hAnsi="Goudy Old Style"/>
          <w:sz w:val="20"/>
          <w:szCs w:val="20"/>
        </w:rPr>
      </w:pPr>
    </w:p>
    <w:p w:rsidR="00765930" w:rsidRDefault="00765930"/>
    <w:p w:rsidR="00765930" w:rsidRDefault="00765930"/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250"/>
        <w:gridCol w:w="2047"/>
        <w:gridCol w:w="2075"/>
      </w:tblGrid>
      <w:tr w:rsidR="00765930" w:rsidTr="00765930">
        <w:tc>
          <w:tcPr>
            <w:tcW w:w="10440" w:type="dxa"/>
            <w:gridSpan w:val="5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 w:rsidRPr="0063073C">
              <w:rPr>
                <w:rFonts w:ascii="Goudy Old Style" w:hAnsi="Goudy Old Style"/>
                <w:b/>
                <w:sz w:val="36"/>
                <w:szCs w:val="36"/>
              </w:rPr>
              <w:t>L</w:t>
            </w:r>
            <w:r>
              <w:rPr>
                <w:rFonts w:ascii="Goudy Old Style" w:hAnsi="Goudy Old Style"/>
              </w:rPr>
              <w:t>earning Scales</w:t>
            </w:r>
          </w:p>
        </w:tc>
      </w:tr>
      <w:tr w:rsidR="00765930" w:rsidTr="00765930">
        <w:tc>
          <w:tcPr>
            <w:tcW w:w="1908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</w:p>
        </w:tc>
        <w:tc>
          <w:tcPr>
            <w:tcW w:w="2160" w:type="dxa"/>
            <w:shd w:val="clear" w:color="auto" w:fill="C0C0C0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Getting Started</w:t>
            </w:r>
          </w:p>
        </w:tc>
        <w:tc>
          <w:tcPr>
            <w:tcW w:w="2250" w:type="dxa"/>
            <w:shd w:val="clear" w:color="auto" w:fill="C0C0C0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Making Progress</w:t>
            </w:r>
          </w:p>
        </w:tc>
        <w:tc>
          <w:tcPr>
            <w:tcW w:w="2047" w:type="dxa"/>
            <w:shd w:val="clear" w:color="auto" w:fill="C0C0C0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Got It</w:t>
            </w:r>
          </w:p>
        </w:tc>
        <w:tc>
          <w:tcPr>
            <w:tcW w:w="2075" w:type="dxa"/>
            <w:shd w:val="clear" w:color="auto" w:fill="C0C0C0"/>
          </w:tcPr>
          <w:p w:rsidR="00765930" w:rsidRDefault="00765930" w:rsidP="00765930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Transfer</w:t>
            </w:r>
          </w:p>
        </w:tc>
      </w:tr>
      <w:tr w:rsidR="00765930" w:rsidTr="00765930">
        <w:tc>
          <w:tcPr>
            <w:tcW w:w="1908" w:type="dxa"/>
          </w:tcPr>
          <w:p w:rsidR="00765930" w:rsidRDefault="000459B4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Understand and respect individual students for their unique attributes, preferences, strengths, and challenges</w:t>
            </w:r>
            <w:r w:rsidR="005256D7">
              <w:rPr>
                <w:rFonts w:ascii="Goudy Old Style" w:hAnsi="Goudy Old Style"/>
              </w:rPr>
              <w:t xml:space="preserve">. </w:t>
            </w:r>
          </w:p>
        </w:tc>
        <w:tc>
          <w:tcPr>
            <w:tcW w:w="2160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5256D7">
              <w:rPr>
                <w:rFonts w:ascii="Goudy Old Style" w:hAnsi="Goudy Old Style"/>
              </w:rPr>
              <w:t>access the student portal to learn about my advisees’ school performance. I set aside time to meet individually with my advisees on a regular basis.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</w:tc>
        <w:tc>
          <w:tcPr>
            <w:tcW w:w="2250" w:type="dxa"/>
          </w:tcPr>
          <w:p w:rsidR="00765930" w:rsidRDefault="00765930" w:rsidP="005256D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5256D7">
              <w:rPr>
                <w:rFonts w:ascii="Goudy Old Style" w:hAnsi="Goudy Old Style"/>
              </w:rPr>
              <w:t xml:space="preserve"> </w:t>
            </w:r>
            <w:r w:rsidR="00677F6F">
              <w:rPr>
                <w:rFonts w:ascii="Goudy Old Style" w:hAnsi="Goudy Old Style"/>
              </w:rPr>
              <w:t>make targeted and sustained effort to deepen my understanding of my advisees throughout the year through a wide variety of tools and activities (surveys, games, one-to-one conversations, etc.)</w:t>
            </w:r>
          </w:p>
        </w:tc>
        <w:tc>
          <w:tcPr>
            <w:tcW w:w="2047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677F6F">
              <w:rPr>
                <w:rFonts w:ascii="Goudy Old Style" w:hAnsi="Goudy Old Style"/>
              </w:rPr>
              <w:t xml:space="preserve">know my advisees well and can identify how each student’s individual </w:t>
            </w:r>
            <w:proofErr w:type="gramStart"/>
            <w:r w:rsidR="00677F6F">
              <w:rPr>
                <w:rFonts w:ascii="Goudy Old Style" w:hAnsi="Goudy Old Style"/>
              </w:rPr>
              <w:t>strengths,</w:t>
            </w:r>
            <w:proofErr w:type="gramEnd"/>
            <w:r w:rsidR="00677F6F">
              <w:rPr>
                <w:rFonts w:ascii="Goudy Old Style" w:hAnsi="Goudy Old Style"/>
              </w:rPr>
              <w:t xml:space="preserve"> challenges, perspectives, habits, and attitudes can be applied to improve </w:t>
            </w:r>
            <w:r w:rsidR="000459B4">
              <w:rPr>
                <w:rFonts w:ascii="Goudy Old Style" w:hAnsi="Goudy Old Style"/>
              </w:rPr>
              <w:t xml:space="preserve">their </w:t>
            </w:r>
            <w:r w:rsidR="00677F6F">
              <w:rPr>
                <w:rFonts w:ascii="Goudy Old Style" w:hAnsi="Goudy Old Style"/>
              </w:rPr>
              <w:t>learning.</w:t>
            </w:r>
          </w:p>
          <w:p w:rsidR="00AD24F1" w:rsidRDefault="00AD24F1" w:rsidP="00765930">
            <w:pPr>
              <w:rPr>
                <w:rFonts w:ascii="Goudy Old Style" w:hAnsi="Goudy Old Style"/>
              </w:rPr>
            </w:pP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</w:tc>
        <w:tc>
          <w:tcPr>
            <w:tcW w:w="2075" w:type="dxa"/>
          </w:tcPr>
          <w:p w:rsidR="00765930" w:rsidRDefault="00765930" w:rsidP="000459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677F6F">
              <w:rPr>
                <w:rFonts w:ascii="Goudy Old Style" w:hAnsi="Goudy Old Style"/>
              </w:rPr>
              <w:t xml:space="preserve"> </w:t>
            </w:r>
            <w:r w:rsidR="000459B4">
              <w:rPr>
                <w:rFonts w:ascii="Goudy Old Style" w:hAnsi="Goudy Old Style"/>
              </w:rPr>
              <w:t>discuss</w:t>
            </w:r>
            <w:r w:rsidR="00677F6F">
              <w:rPr>
                <w:rFonts w:ascii="Goudy Old Style" w:hAnsi="Goudy Old Style"/>
              </w:rPr>
              <w:t xml:space="preserve"> my understanding </w:t>
            </w:r>
            <w:r w:rsidR="000459B4">
              <w:rPr>
                <w:rFonts w:ascii="Goudy Old Style" w:hAnsi="Goudy Old Style"/>
              </w:rPr>
              <w:t>with</w:t>
            </w:r>
            <w:r w:rsidR="00677F6F">
              <w:rPr>
                <w:rFonts w:ascii="Goudy Old Style" w:hAnsi="Goudy Old Style"/>
              </w:rPr>
              <w:t xml:space="preserve"> my advisees to</w:t>
            </w:r>
            <w:r>
              <w:rPr>
                <w:rFonts w:ascii="Goudy Old Style" w:hAnsi="Goudy Old Style"/>
              </w:rPr>
              <w:t xml:space="preserve"> </w:t>
            </w:r>
            <w:r w:rsidR="000459B4">
              <w:rPr>
                <w:rFonts w:ascii="Goudy Old Style" w:hAnsi="Goudy Old Style"/>
              </w:rPr>
              <w:t>help them increase self-awareness. I advocate</w:t>
            </w:r>
            <w:r w:rsidR="00677F6F">
              <w:rPr>
                <w:rFonts w:ascii="Goudy Old Style" w:hAnsi="Goudy Old Style"/>
              </w:rPr>
              <w:t xml:space="preserve"> on </w:t>
            </w:r>
            <w:r w:rsidR="000459B4">
              <w:rPr>
                <w:rFonts w:ascii="Goudy Old Style" w:hAnsi="Goudy Old Style"/>
              </w:rPr>
              <w:t>my advisees’</w:t>
            </w:r>
            <w:r w:rsidR="00677F6F">
              <w:rPr>
                <w:rFonts w:ascii="Goudy Old Style" w:hAnsi="Goudy Old Style"/>
              </w:rPr>
              <w:t xml:space="preserve"> behalf</w:t>
            </w:r>
            <w:r w:rsidR="000459B4">
              <w:rPr>
                <w:rFonts w:ascii="Goudy Old Style" w:hAnsi="Goudy Old Style"/>
              </w:rPr>
              <w:t xml:space="preserve"> at both the individual and systemic levels</w:t>
            </w:r>
            <w:r w:rsidR="00677F6F">
              <w:rPr>
                <w:rFonts w:ascii="Goudy Old Style" w:hAnsi="Goudy Old Style"/>
              </w:rPr>
              <w:t xml:space="preserve">. </w:t>
            </w:r>
            <w:r w:rsidR="00AD24F1">
              <w:rPr>
                <w:rFonts w:ascii="Goudy Old Style" w:hAnsi="Goudy Old Style"/>
              </w:rPr>
              <w:t>My advisees can provide evidence of how this improves their experience as a learner.</w:t>
            </w:r>
          </w:p>
        </w:tc>
      </w:tr>
      <w:tr w:rsidR="00765930" w:rsidTr="00765930">
        <w:tc>
          <w:tcPr>
            <w:tcW w:w="1908" w:type="dxa"/>
          </w:tcPr>
          <w:p w:rsidR="00765930" w:rsidRDefault="00B934FE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Encourage student leadership/ownership of </w:t>
            </w:r>
            <w:r w:rsidR="00E70404">
              <w:rPr>
                <w:rFonts w:ascii="Goudy Old Style" w:hAnsi="Goudy Old Style"/>
              </w:rPr>
              <w:t xml:space="preserve">their own learning and of their </w:t>
            </w:r>
            <w:r>
              <w:rPr>
                <w:rFonts w:ascii="Goudy Old Style" w:hAnsi="Goudy Old Style"/>
              </w:rPr>
              <w:t>advisory</w:t>
            </w:r>
            <w:r w:rsidR="00E70404">
              <w:rPr>
                <w:rFonts w:ascii="Goudy Old Style" w:hAnsi="Goudy Old Style"/>
              </w:rPr>
              <w:t xml:space="preserve"> and other </w:t>
            </w:r>
            <w:r w:rsidR="002A6DA4">
              <w:rPr>
                <w:rFonts w:ascii="Goudy Old Style" w:hAnsi="Goudy Old Style"/>
              </w:rPr>
              <w:t>school experience</w:t>
            </w:r>
            <w:r w:rsidR="00E70404">
              <w:rPr>
                <w:rFonts w:ascii="Goudy Old Style" w:hAnsi="Goudy Old Style"/>
              </w:rPr>
              <w:t>s</w:t>
            </w:r>
            <w:r>
              <w:rPr>
                <w:rFonts w:ascii="Goudy Old Style" w:hAnsi="Goudy Old Style"/>
              </w:rPr>
              <w:t>.</w:t>
            </w:r>
          </w:p>
        </w:tc>
        <w:tc>
          <w:tcPr>
            <w:tcW w:w="2160" w:type="dxa"/>
          </w:tcPr>
          <w:p w:rsidR="00765930" w:rsidRDefault="00B934FE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I’m exploring why it’s so important to work collaboratively with students and considering ways to do this</w:t>
            </w:r>
            <w:r w:rsidR="00765930">
              <w:rPr>
                <w:rFonts w:ascii="Goudy Old Style" w:hAnsi="Goudy Old Style"/>
              </w:rPr>
              <w:t>.</w:t>
            </w:r>
          </w:p>
        </w:tc>
        <w:tc>
          <w:tcPr>
            <w:tcW w:w="2250" w:type="dxa"/>
          </w:tcPr>
          <w:p w:rsidR="00765930" w:rsidRDefault="00765930" w:rsidP="00B934F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B934FE">
              <w:rPr>
                <w:rFonts w:ascii="Goudy Old Style" w:hAnsi="Goudy Old Style"/>
              </w:rPr>
              <w:t>’m engaged in designing ways for my students to play a more active role in selecting advisory topics and leading advisory activities.</w:t>
            </w:r>
          </w:p>
        </w:tc>
        <w:tc>
          <w:tcPr>
            <w:tcW w:w="2047" w:type="dxa"/>
          </w:tcPr>
          <w:p w:rsidR="00765930" w:rsidRDefault="00765930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B934FE">
              <w:rPr>
                <w:rFonts w:ascii="Goudy Old Style" w:hAnsi="Goudy Old Style"/>
              </w:rPr>
              <w:t>invite students to join the advisory planning/leading process so they can increasingly decide where they’re headed, where they are and what they will do next.</w:t>
            </w:r>
          </w:p>
          <w:p w:rsidR="00765930" w:rsidRDefault="00765930" w:rsidP="00765930">
            <w:pPr>
              <w:rPr>
                <w:rFonts w:ascii="Goudy Old Style" w:hAnsi="Goudy Old Style"/>
              </w:rPr>
            </w:pPr>
          </w:p>
        </w:tc>
        <w:tc>
          <w:tcPr>
            <w:tcW w:w="2075" w:type="dxa"/>
          </w:tcPr>
          <w:p w:rsidR="00765930" w:rsidRDefault="00B934FE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Engaging students as advisory leaders has become an automatic skill/habit, and my advisees can provide evidence of how this improves their </w:t>
            </w:r>
            <w:r w:rsidR="002A6DA4">
              <w:rPr>
                <w:rFonts w:ascii="Goudy Old Style" w:hAnsi="Goudy Old Style"/>
              </w:rPr>
              <w:t>performance &amp;</w:t>
            </w:r>
            <w:r>
              <w:rPr>
                <w:rFonts w:ascii="Goudy Old Style" w:hAnsi="Goudy Old Style"/>
              </w:rPr>
              <w:t xml:space="preserve"> engagement</w:t>
            </w:r>
            <w:r w:rsidR="00765930">
              <w:rPr>
                <w:rFonts w:ascii="Goudy Old Style" w:hAnsi="Goudy Old Style"/>
              </w:rPr>
              <w:t>.</w:t>
            </w:r>
          </w:p>
        </w:tc>
      </w:tr>
      <w:tr w:rsidR="00765930" w:rsidTr="00765930">
        <w:tc>
          <w:tcPr>
            <w:tcW w:w="1908" w:type="dxa"/>
          </w:tcPr>
          <w:p w:rsidR="00765930" w:rsidRDefault="00E70404" w:rsidP="00E7040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Model preparedness and productivity.</w:t>
            </w:r>
          </w:p>
        </w:tc>
        <w:tc>
          <w:tcPr>
            <w:tcW w:w="2160" w:type="dxa"/>
          </w:tcPr>
          <w:p w:rsidR="00765930" w:rsidRDefault="00765930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2A6DA4">
              <w:rPr>
                <w:rFonts w:ascii="Goudy Old Style" w:hAnsi="Goudy Old Style"/>
              </w:rPr>
              <w:t xml:space="preserve"> read the weekly advisory updates and am aware of the topic/theme and expectations each week</w:t>
            </w:r>
            <w:r>
              <w:rPr>
                <w:rFonts w:ascii="Goudy Old Style" w:hAnsi="Goudy Old Style"/>
              </w:rPr>
              <w:t>.</w:t>
            </w:r>
          </w:p>
        </w:tc>
        <w:tc>
          <w:tcPr>
            <w:tcW w:w="2250" w:type="dxa"/>
          </w:tcPr>
          <w:p w:rsidR="00765930" w:rsidRDefault="00170478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2A6DA4">
              <w:rPr>
                <w:rFonts w:ascii="Goudy Old Style" w:hAnsi="Goudy Old Style"/>
              </w:rPr>
              <w:t xml:space="preserve"> share the weekly topics/themes with my advisory and plan and implement related activities and discussions</w:t>
            </w:r>
            <w:r w:rsidR="00765930">
              <w:rPr>
                <w:rFonts w:ascii="Goudy Old Style" w:hAnsi="Goudy Old Style"/>
              </w:rPr>
              <w:t>.</w:t>
            </w:r>
          </w:p>
        </w:tc>
        <w:tc>
          <w:tcPr>
            <w:tcW w:w="2047" w:type="dxa"/>
          </w:tcPr>
          <w:p w:rsidR="00765930" w:rsidRDefault="00765930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2A6DA4">
              <w:rPr>
                <w:rFonts w:ascii="Goudy Old Style" w:hAnsi="Goudy Old Style"/>
              </w:rPr>
              <w:t>seek additional resources to identify other activity ideas to engage students</w:t>
            </w:r>
            <w:r w:rsidR="00170478">
              <w:rPr>
                <w:rFonts w:ascii="Goudy Old Style" w:hAnsi="Goudy Old Style"/>
              </w:rPr>
              <w:t xml:space="preserve"> with current </w:t>
            </w:r>
            <w:r w:rsidR="002A6DA4">
              <w:rPr>
                <w:rFonts w:ascii="Goudy Old Style" w:hAnsi="Goudy Old Style"/>
              </w:rPr>
              <w:t xml:space="preserve">advisory </w:t>
            </w:r>
            <w:r w:rsidR="00170478">
              <w:rPr>
                <w:rFonts w:ascii="Goudy Old Style" w:hAnsi="Goudy Old Style"/>
              </w:rPr>
              <w:t>topics &amp; themes and I’m beginning to see how my adjustments are improving the advisory experience</w:t>
            </w:r>
            <w:r>
              <w:rPr>
                <w:rFonts w:ascii="Goudy Old Style" w:hAnsi="Goudy Old Style"/>
              </w:rPr>
              <w:t>.</w:t>
            </w:r>
          </w:p>
        </w:tc>
        <w:tc>
          <w:tcPr>
            <w:tcW w:w="2075" w:type="dxa"/>
          </w:tcPr>
          <w:p w:rsidR="00765930" w:rsidRDefault="00765930" w:rsidP="002A6DA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170478">
              <w:rPr>
                <w:rFonts w:ascii="Goudy Old Style" w:hAnsi="Goudy Old Style"/>
              </w:rPr>
              <w:t xml:space="preserve">share resources that keep me and my advisory engaged with current topics &amp; themes </w:t>
            </w:r>
            <w:r w:rsidR="002A6DA4">
              <w:rPr>
                <w:rFonts w:ascii="Goudy Old Style" w:hAnsi="Goudy Old Style"/>
              </w:rPr>
              <w:t>with my colleagues. M</w:t>
            </w:r>
            <w:r w:rsidR="00170478">
              <w:rPr>
                <w:rFonts w:ascii="Goudy Old Style" w:hAnsi="Goudy Old Style"/>
              </w:rPr>
              <w:t>y</w:t>
            </w:r>
            <w:r w:rsidR="002A6DA4">
              <w:rPr>
                <w:rFonts w:ascii="Goudy Old Style" w:hAnsi="Goudy Old Style"/>
              </w:rPr>
              <w:t xml:space="preserve"> colleagues and students</w:t>
            </w:r>
            <w:r w:rsidR="00170478">
              <w:rPr>
                <w:rFonts w:ascii="Goudy Old Style" w:hAnsi="Goudy Old Style"/>
              </w:rPr>
              <w:t xml:space="preserve"> can provide evidence of how this improves the advisory experience</w:t>
            </w:r>
            <w:r>
              <w:rPr>
                <w:rFonts w:ascii="Goudy Old Style" w:hAnsi="Goudy Old Style"/>
              </w:rPr>
              <w:t>.</w:t>
            </w:r>
          </w:p>
        </w:tc>
      </w:tr>
      <w:tr w:rsidR="00765930" w:rsidTr="00765930">
        <w:tc>
          <w:tcPr>
            <w:tcW w:w="1908" w:type="dxa"/>
          </w:tcPr>
          <w:p w:rsidR="00765930" w:rsidRDefault="00E70404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Feature m</w:t>
            </w:r>
            <w:r w:rsidR="000459B4">
              <w:rPr>
                <w:rFonts w:ascii="Goudy Old Style" w:hAnsi="Goudy Old Style"/>
              </w:rPr>
              <w:t>eaningful learning opportunities</w:t>
            </w:r>
          </w:p>
        </w:tc>
        <w:tc>
          <w:tcPr>
            <w:tcW w:w="2160" w:type="dxa"/>
          </w:tcPr>
          <w:p w:rsidR="00765930" w:rsidRDefault="00170478" w:rsidP="0076593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</w:t>
            </w:r>
            <w:r w:rsidR="00765930">
              <w:rPr>
                <w:rFonts w:ascii="Goudy Old Style" w:hAnsi="Goudy Old Style"/>
              </w:rPr>
              <w:t xml:space="preserve"> understand that my </w:t>
            </w:r>
            <w:r>
              <w:rPr>
                <w:rFonts w:ascii="Goudy Old Style" w:hAnsi="Goudy Old Style"/>
              </w:rPr>
              <w:t xml:space="preserve">advisory </w:t>
            </w:r>
            <w:r w:rsidR="00765930">
              <w:rPr>
                <w:rFonts w:ascii="Goudy Old Style" w:hAnsi="Goudy Old Style"/>
              </w:rPr>
              <w:t>group has it’s own culture, including unique learning styles and preferences</w:t>
            </w:r>
            <w:r w:rsidR="000459B4">
              <w:rPr>
                <w:rFonts w:ascii="Goudy Old Style" w:hAnsi="Goudy Old Style"/>
              </w:rPr>
              <w:t>, and seek to plan activities that are a good match for my advisory</w:t>
            </w:r>
            <w:r w:rsidR="00765930">
              <w:rPr>
                <w:rFonts w:ascii="Goudy Old Style" w:hAnsi="Goudy Old Style"/>
              </w:rPr>
              <w:t>.</w:t>
            </w:r>
          </w:p>
        </w:tc>
        <w:tc>
          <w:tcPr>
            <w:tcW w:w="2250" w:type="dxa"/>
          </w:tcPr>
          <w:p w:rsidR="00765930" w:rsidRDefault="00765930" w:rsidP="0017047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am thinking critically about activities that do and do not work for my </w:t>
            </w:r>
            <w:r w:rsidR="00170478">
              <w:rPr>
                <w:rFonts w:ascii="Goudy Old Style" w:hAnsi="Goudy Old Style"/>
              </w:rPr>
              <w:t>advisory</w:t>
            </w:r>
            <w:r>
              <w:rPr>
                <w:rFonts w:ascii="Goudy Old Style" w:hAnsi="Goudy Old Style"/>
              </w:rPr>
              <w:t xml:space="preserve"> and am able to </w:t>
            </w:r>
            <w:r w:rsidR="00170478">
              <w:rPr>
                <w:rFonts w:ascii="Goudy Old Style" w:hAnsi="Goudy Old Style"/>
              </w:rPr>
              <w:t>model/lead</w:t>
            </w:r>
            <w:r>
              <w:rPr>
                <w:rFonts w:ascii="Goudy Old Style" w:hAnsi="Goudy Old Style"/>
              </w:rPr>
              <w:t xml:space="preserve"> group-reflection about activities</w:t>
            </w:r>
            <w:r w:rsidR="000459B4">
              <w:rPr>
                <w:rFonts w:ascii="Goudy Old Style" w:hAnsi="Goudy Old Style"/>
              </w:rPr>
              <w:t xml:space="preserve"> to help deepen my </w:t>
            </w:r>
            <w:proofErr w:type="gramStart"/>
            <w:r w:rsidR="000459B4">
              <w:rPr>
                <w:rFonts w:ascii="Goudy Old Style" w:hAnsi="Goudy Old Style"/>
              </w:rPr>
              <w:t>advisees</w:t>
            </w:r>
            <w:proofErr w:type="gramEnd"/>
            <w:r w:rsidR="000459B4">
              <w:rPr>
                <w:rFonts w:ascii="Goudy Old Style" w:hAnsi="Goudy Old Style"/>
              </w:rPr>
              <w:t xml:space="preserve"> self-awareness.</w:t>
            </w:r>
          </w:p>
        </w:tc>
        <w:tc>
          <w:tcPr>
            <w:tcW w:w="2047" w:type="dxa"/>
          </w:tcPr>
          <w:p w:rsidR="00765930" w:rsidRDefault="000459B4" w:rsidP="000459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My advisory participates in meaningful learning opportunities that engage students in enduring learning and self-reflection. </w:t>
            </w:r>
          </w:p>
        </w:tc>
        <w:tc>
          <w:tcPr>
            <w:tcW w:w="2075" w:type="dxa"/>
          </w:tcPr>
          <w:p w:rsidR="00765930" w:rsidRDefault="00765930" w:rsidP="000459B4">
            <w:pPr>
              <w:rPr>
                <w:rFonts w:ascii="Goudy Old Style" w:hAnsi="Goudy Old Style"/>
              </w:rPr>
            </w:pPr>
            <w:proofErr w:type="gramStart"/>
            <w:r>
              <w:rPr>
                <w:rFonts w:ascii="Goudy Old Style" w:hAnsi="Goudy Old Style"/>
              </w:rPr>
              <w:t xml:space="preserve">I </w:t>
            </w:r>
            <w:r w:rsidR="000459B4">
              <w:rPr>
                <w:rFonts w:ascii="Goudy Old Style" w:hAnsi="Goudy Old Style"/>
              </w:rPr>
              <w:t>and my advisees</w:t>
            </w:r>
            <w:proofErr w:type="gramEnd"/>
            <w:r w:rsidR="000459B4">
              <w:rPr>
                <w:rFonts w:ascii="Goudy Old Style" w:hAnsi="Goudy Old Style"/>
              </w:rPr>
              <w:t xml:space="preserve"> can identify how the meaningful learning opportunities we explore in advisory improve the advisory experience and increase learner self-awareness and self-advocacy.</w:t>
            </w:r>
          </w:p>
        </w:tc>
      </w:tr>
      <w:tr w:rsidR="00765930" w:rsidTr="00765930">
        <w:tc>
          <w:tcPr>
            <w:tcW w:w="1908" w:type="dxa"/>
          </w:tcPr>
          <w:p w:rsidR="00765930" w:rsidRDefault="00E70404" w:rsidP="00E7040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Practice f</w:t>
            </w:r>
            <w:r w:rsidR="00765930">
              <w:rPr>
                <w:rFonts w:ascii="Goudy Old Style" w:hAnsi="Goudy Old Style"/>
              </w:rPr>
              <w:t>eedback and reflection</w:t>
            </w:r>
            <w:r>
              <w:rPr>
                <w:rFonts w:ascii="Goudy Old Style" w:hAnsi="Goudy Old Style"/>
              </w:rPr>
              <w:t>, because they</w:t>
            </w:r>
            <w:r w:rsidR="00765930">
              <w:rPr>
                <w:rFonts w:ascii="Goudy Old Style" w:hAnsi="Goudy Old Style"/>
              </w:rPr>
              <w:t xml:space="preserve"> are important to my growth and the growth of others</w:t>
            </w:r>
          </w:p>
        </w:tc>
        <w:tc>
          <w:tcPr>
            <w:tcW w:w="2160" w:type="dxa"/>
          </w:tcPr>
          <w:p w:rsidR="00765930" w:rsidRDefault="00765930" w:rsidP="00AD24F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understand </w:t>
            </w:r>
            <w:r w:rsidR="00AD24F1">
              <w:rPr>
                <w:rFonts w:ascii="Goudy Old Style" w:hAnsi="Goudy Old Style"/>
              </w:rPr>
              <w:t>the role that timely, analytic, positive, and ongoing feedback has on learning, including learning to be an advisory. I can identify two colleagues I trust to provide feedback</w:t>
            </w:r>
            <w:r>
              <w:rPr>
                <w:rFonts w:ascii="Goudy Old Style" w:hAnsi="Goudy Old Style"/>
              </w:rPr>
              <w:t xml:space="preserve">. </w:t>
            </w:r>
          </w:p>
        </w:tc>
        <w:tc>
          <w:tcPr>
            <w:tcW w:w="2250" w:type="dxa"/>
          </w:tcPr>
          <w:p w:rsidR="00765930" w:rsidRDefault="00765930" w:rsidP="00AD24F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AD24F1">
              <w:rPr>
                <w:rFonts w:ascii="Goudy Old Style" w:hAnsi="Goudy Old Style"/>
              </w:rPr>
              <w:t>seek and provide feedback that is based on the goals of the advisory program, and I use feedback to adjust my practice in ways most likely to improve my advisees’ experience</w:t>
            </w:r>
            <w:r>
              <w:rPr>
                <w:rFonts w:ascii="Goudy Old Style" w:hAnsi="Goudy Old Style"/>
              </w:rPr>
              <w:t xml:space="preserve">. </w:t>
            </w:r>
          </w:p>
        </w:tc>
        <w:tc>
          <w:tcPr>
            <w:tcW w:w="2047" w:type="dxa"/>
          </w:tcPr>
          <w:p w:rsidR="00765930" w:rsidRDefault="00765930" w:rsidP="00AD24F1">
            <w:pPr>
              <w:tabs>
                <w:tab w:val="left" w:pos="1080"/>
              </w:tabs>
              <w:spacing w:line="0" w:lineRule="atLeast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AD24F1">
              <w:rPr>
                <w:rFonts w:ascii="Goudy Old Style" w:hAnsi="Goudy Old Style"/>
              </w:rPr>
              <w:t>seek and provide constructive feedback that is based on the goals of the advisory program, and I’m beginning to see how my adjustments are improving learning</w:t>
            </w:r>
            <w:r>
              <w:rPr>
                <w:rFonts w:ascii="Goudy Old Style" w:hAnsi="Goudy Old Style"/>
              </w:rPr>
              <w:t>.</w:t>
            </w:r>
          </w:p>
        </w:tc>
        <w:tc>
          <w:tcPr>
            <w:tcW w:w="2075" w:type="dxa"/>
          </w:tcPr>
          <w:p w:rsidR="00765930" w:rsidRDefault="00765930" w:rsidP="00AD24F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 </w:t>
            </w:r>
            <w:r w:rsidR="00AD24F1">
              <w:rPr>
                <w:rFonts w:ascii="Goudy Old Style" w:hAnsi="Goudy Old Style"/>
              </w:rPr>
              <w:t>seek and provide constructive feedback that is based on the goals of the advisory program, and student engagement and outcomes continue to improve as my design improves</w:t>
            </w:r>
            <w:r>
              <w:rPr>
                <w:rFonts w:ascii="Goudy Old Style" w:hAnsi="Goudy Old Style"/>
              </w:rPr>
              <w:t>.</w:t>
            </w:r>
          </w:p>
        </w:tc>
      </w:tr>
    </w:tbl>
    <w:p w:rsidR="00765930" w:rsidRDefault="00765930" w:rsidP="00AD24F1"/>
    <w:sectPr w:rsidR="00765930" w:rsidSect="0076593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42"/>
    <w:multiLevelType w:val="multilevel"/>
    <w:tmpl w:val="C81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6501"/>
    <w:multiLevelType w:val="multilevel"/>
    <w:tmpl w:val="664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25B3D"/>
    <w:multiLevelType w:val="multilevel"/>
    <w:tmpl w:val="F56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A4B2E"/>
    <w:multiLevelType w:val="multilevel"/>
    <w:tmpl w:val="B78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9091B"/>
    <w:multiLevelType w:val="multilevel"/>
    <w:tmpl w:val="030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0"/>
    <w:rsid w:val="000459B4"/>
    <w:rsid w:val="000A2EC4"/>
    <w:rsid w:val="00170478"/>
    <w:rsid w:val="002A6DA4"/>
    <w:rsid w:val="005256D7"/>
    <w:rsid w:val="00677F6F"/>
    <w:rsid w:val="00765930"/>
    <w:rsid w:val="00AD24F1"/>
    <w:rsid w:val="00B934FE"/>
    <w:rsid w:val="00E42F1C"/>
    <w:rsid w:val="00E70404"/>
    <w:rsid w:val="00EB6C3A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3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593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3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593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srfharmony.org/protocol/doc/north_south.pdf" TargetMode="External"/><Relationship Id="rId7" Type="http://schemas.openxmlformats.org/officeDocument/2006/relationships/hyperlink" Target="https://www.washington.edu/admin/hr/benefits/publications/carelink/tipsheets/communit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1196</Words>
  <Characters>6822</Characters>
  <Application>Microsoft Macintosh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Bucklin</dc:creator>
  <cp:keywords/>
  <dc:description/>
  <cp:lastModifiedBy>Emily</cp:lastModifiedBy>
  <cp:revision>2</cp:revision>
  <dcterms:created xsi:type="dcterms:W3CDTF">2014-10-14T16:24:00Z</dcterms:created>
  <dcterms:modified xsi:type="dcterms:W3CDTF">2014-10-14T16:24:00Z</dcterms:modified>
</cp:coreProperties>
</file>